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374</w:t>
      </w:r>
    </w:p>
    <w:p>
      <w:r>
        <w:t>Bundesgericht (BGE), 1969-12-05, FR</w:t>
      </w:r>
    </w:p>
    <w:p>
      <w:r>
        <w:rPr>
          <w:b/>
        </w:rPr>
        <w:t xml:space="preserve">Quelle: </w:t>
      </w:r>
      <w:r>
        <w:t>https://mcp.opencaselaw.ch/entscheid/bge_95 II 374</w:t>
      </w:r>
    </w:p>
    <w:p>
      <w:r>
        <w:t>FR: ATF 95 II 374</w:t>
      </w:r>
    </w:p>
    <w:p>
      <w:r>
        <w:t>IT: DTF 95 II 374</w:t>
      </w:r>
    </w:p>
    <w:p>
      <w:pPr>
        <w:pStyle w:val="Heading2"/>
      </w:pPr>
      <w:r>
        <w:t>Regeste</w:t>
      </w:r>
    </w:p>
    <w:p>
      <w:r>
        <w:t>Regeste Berufung. Zivilrechtsstreitigkeit (Art. 44 ff. OG). 1. Die Streitigkeiten, welche die Vollstreckung eines Urteils eines ausländischen Gerichts in der Schweiz betreffen, sind keineZivilrechtsstreitigkeiten, selbst wenn sich dabei zivilrechtliche Vorfragen stellen (Erw. 1). 2. Kann eine irrtümlich als Berufung bezeichnete Eingabe als staatsrechtliche Beschwerde wegen Verletzung von Staatsverträgen mit dem Ausland im Sinne von Art. 84 Abs. 1 lit. c OG behandelt werden? (Erw. 2 und 3).</w:t>
      </w:r>
    </w:p>
    <w:p>
      <w:pPr>
        <w:pStyle w:val="Heading2"/>
      </w:pPr>
      <w:r>
        <w:t>Erwägungen</w:t>
      </w:r>
    </w:p>
    <w:p>
      <w:r>
        <w:rPr>
          <w:b/>
        </w:rPr>
        <w:t>E. 1</w:t>
      </w:r>
    </w:p>
    <w:p>
      <w:r>
        <w:t>Selon l' art. 43 al. 1 OJ , le recours en réforme n'est recevable que pour violation du droit fédéral, y compris les traités internationaux conclus par la Confédération. Il ressort en outre des art. 44 à 46 OJ que, sous réserve d'exceptions prévues expressément par la loi, le recours en réforme n'est recevable que dans les contestations civiles. La jurisprudence entend par contestation civile une procédure qui vise à provoquer une décision définitive sur des rapports de droit civil et qui se déroule en contradictoire devant un juge ou toute autre autorité ayant pouvoir de statuer, entre deux personnes physiques oumorales agissant comme sujets de droits privés, voire entre une telle personne et une autorité à laquelle le droit civil confère la qualité de partie (RO 91 II 54, 139 et 396; 92 II 130 ; 93 II 437 ; 94 II 57 ). Les décisions qui portent sur l'exécution d'un jugement ne tranchent pas des contestations civiles, mais des litiges relatifs à l'exécution forcée. Ces décisions ne sont dès lors pas susceptibles d'être attaquées par la voie du recours en réforme, même s'il faut résoudre des questions de droit civil à titre BGE 95 II 374 S. 378 préjudiciel en vue d'établir que les conditions requises pour l'exécution sont réalisées (RO 78 II 176). Ainsi, la décision prise par une autorité cantonale de dernière instance sur une demande d'exécution en Suisse d'un jugement rendu par un tribunal étranger ne peut pas être déférée au Tribunal fédéral par la voie du recours en réforme (RO 41 II 624, 93 I 166; BIRCHMEIER, Bundesrechtspflege, p. 126 en haut; WURZBURGER, Les conditions objectives du recours en réforme, thèse Lausanne 1964, no 150, p. 104). Le recours en réforme de François Nowak est donc irrecevable comme tel.</w:t>
      </w:r>
    </w:p>
    <w:p>
      <w:r>
        <w:rPr>
          <w:b/>
        </w:rPr>
        <w:t>E. 2</w:t>
      </w:r>
    </w:p>
    <w:p>
      <w:r>
        <w:t>En vertu de l'art. 84 al. 1 lettre c OJ, le recours de droit public au Tribunal fédéral est recevable contre une décision cantonale pour violation de traités internationaux, sauf s'il s'agit d'une violation de leurs dispositions de droit civil ou de droit pénal. Lorsqu'une partie se plaint, comme en l'espèce, de la violation des art. 15 et 17 de la convention franco-suisse du 15 juin 1869, soit de dispositions qui ne relèvent pas du droit civil, mais de la procédure, c'est uniquement par la voie du recours de droit public qu'elle peut saisir le Tribunal fédéral (cf. RO 75 I 148, consid. 1, 81 I 142, 93 I 166 s.; arrêt du 10 juin 1964 dans la cause Mekki, consid. 1, non publié au R= 90 I 112 ss.).</w:t>
      </w:r>
    </w:p>
    <w:p>
      <w:r>
        <w:rPr>
          <w:b/>
        </w:rPr>
        <w:t>E. 3</w:t>
      </w:r>
    </w:p>
    <w:p>
      <w:r>
        <w:t>La jurisprudence récente admet qu'un mémoire intitulé par erreur "recours en réforme", irrecevable comme tel, peut être examiné comme un recours de droit public s'il remplit les exigences de forme que pose la loi pour cette voie de droit (RO 93 I 167, consid. 2). Il convient dès lors de transmettre l'acte de recours de François Nowak à la Chambre de droit public pour qu'elle examine si ce mémoire est recevable comme recours de droit public et, dans l'affirmative, pour qu'elle statue sur le mérite du recours en question.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